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EA13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Procedures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Foreign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Diplomas</w:t>
      </w:r>
      <w:proofErr w:type="spellEnd"/>
    </w:p>
    <w:p w14:paraId="72BEB1AB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School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certificate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,</w:t>
      </w:r>
    </w:p>
    <w:p w14:paraId="18B2D400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.../.../2025-.../.../2026,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will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be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submitted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candidate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relevant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institute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during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'Final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Registration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Postgraduate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Thesis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Programs'.</w:t>
      </w:r>
    </w:p>
    <w:p w14:paraId="1F7BC69D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Click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here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Announcement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Regarding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Procedures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(25.05.2016).</w:t>
      </w:r>
    </w:p>
    <w:p w14:paraId="6A7F3ADE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certificate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: A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document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showing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that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applicant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has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graduated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from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a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recognized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foreign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institution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program, but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which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does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not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have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nature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an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certificate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.</w:t>
      </w:r>
    </w:p>
    <w:p w14:paraId="2E023B94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Foreign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nationals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Master's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Doctorate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degrees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do not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need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except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fields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medicine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dentistry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.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Applicants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can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postgraduate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obtaining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a "School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Letter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"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from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.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Turkish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citizens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Master's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Doctorate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degrees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must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diploma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. Applications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must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be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submitted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in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person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following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address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: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Application </w:t>
      </w:r>
      <w:proofErr w:type="gram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Office -</w:t>
      </w:r>
      <w:proofErr w:type="gram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Bilkent/ANKARA</w:t>
      </w:r>
    </w:p>
    <w:p w14:paraId="26B469F2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</w:p>
    <w:p w14:paraId="72511FD5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all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foreign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Turkish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citizens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"School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"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letters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are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sent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only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post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based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on a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petition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containing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their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full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address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signature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.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Turkish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citizens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who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have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graduated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from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associate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bachelor's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master's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degree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programs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at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universities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abroad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foreign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citizens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who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have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graduated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from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associate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bachelor's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master's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degree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programs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at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universities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abroad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must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. *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Foreign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citizens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applying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master's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doctoral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programs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except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in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health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fields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, do not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need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to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.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can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obtain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a "School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Recognition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Letter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"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from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and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then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apply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for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postgraduate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.</w:t>
      </w:r>
    </w:p>
    <w:p w14:paraId="2D3F340D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</w:p>
    <w:p w14:paraId="665F6B76" w14:textId="40BAB219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proofErr w:type="gram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Address</w:t>
      </w:r>
      <w:proofErr w:type="spellEnd"/>
      <w: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:</w:t>
      </w:r>
      <w:proofErr w:type="gram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Council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of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Higher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Education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Presidency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06539 Bilkent/ANKARA</w:t>
      </w:r>
    </w:p>
    <w:p w14:paraId="75AA7304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</w:p>
    <w:p w14:paraId="19EAAAA6" w14:textId="5A548599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Telephone</w:t>
      </w:r>
      <w: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(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Equivalency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proofErr w:type="spell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Unit</w:t>
      </w:r>
      <w:proofErr w:type="spell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)</w:t>
      </w:r>
      <w: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: 0850 470 0 965</w:t>
      </w:r>
    </w:p>
    <w:p w14:paraId="5AA1679D" w14:textId="77777777" w:rsidR="000B1BB5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</w:p>
    <w:p w14:paraId="4C8C8F93" w14:textId="476253D8" w:rsidR="006C0A99" w:rsidRPr="000B1BB5" w:rsidRDefault="000B1BB5" w:rsidP="000B1BB5">
      <w:pP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</w:pPr>
      <w:proofErr w:type="spellStart"/>
      <w:proofErr w:type="gramStart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Fax</w:t>
      </w:r>
      <w:proofErr w:type="spellEnd"/>
      <w:r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</w:t>
      </w:r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>:</w:t>
      </w:r>
      <w:proofErr w:type="gramEnd"/>
      <w:r w:rsidRPr="000B1BB5">
        <w:rPr>
          <w:rFonts w:ascii="Book Antiqua" w:eastAsia="Times New Roman" w:hAnsi="Book Antiqua" w:cs="Open Sans"/>
          <w:b/>
          <w:bCs/>
          <w:color w:val="555555"/>
          <w:sz w:val="27"/>
          <w:szCs w:val="27"/>
          <w:lang w:eastAsia="tr-TR"/>
        </w:rPr>
        <w:t xml:space="preserve"> 0(312) 266 50 60</w:t>
      </w:r>
    </w:p>
    <w:sectPr w:rsidR="006C0A99" w:rsidRPr="000B1BB5" w:rsidSect="00DC262F">
      <w:type w:val="continuous"/>
      <w:pgSz w:w="11906" w:h="16838" w:code="9"/>
      <w:pgMar w:top="1418" w:right="707" w:bottom="993" w:left="993" w:header="851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73E1"/>
    <w:multiLevelType w:val="multilevel"/>
    <w:tmpl w:val="79EA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12503"/>
    <w:multiLevelType w:val="multilevel"/>
    <w:tmpl w:val="50FA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3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5"/>
    <w:rsid w:val="000B1BB5"/>
    <w:rsid w:val="006C0A99"/>
    <w:rsid w:val="00D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E210"/>
  <w15:chartTrackingRefBased/>
  <w15:docId w15:val="{21DDAD50-D6ED-47D2-836B-216FD291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B1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B1BB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0B1B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B1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Harun Arvas</dc:creator>
  <cp:keywords/>
  <dc:description/>
  <cp:lastModifiedBy>Mehmet Harun Arvas</cp:lastModifiedBy>
  <cp:revision>1</cp:revision>
  <dcterms:created xsi:type="dcterms:W3CDTF">2025-12-29T12:12:00Z</dcterms:created>
  <dcterms:modified xsi:type="dcterms:W3CDTF">2025-12-29T12:16:00Z</dcterms:modified>
</cp:coreProperties>
</file>